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D6" w:rsidRPr="00E65843" w:rsidRDefault="004074D6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4074D6" w:rsidRDefault="004074D6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4074D6" w:rsidRPr="00D96093" w:rsidRDefault="004074D6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4074D6" w:rsidRDefault="004074D6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4074D6" w:rsidRPr="006B104C" w:rsidRDefault="004074D6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074D6" w:rsidRDefault="004074D6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074D6" w:rsidRPr="006B104C" w:rsidRDefault="004074D6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074D6" w:rsidRPr="001E67E6" w:rsidRDefault="004074D6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4074D6" w:rsidRPr="003444BE" w:rsidRDefault="004074D6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4074D6" w:rsidRDefault="004074D6" w:rsidP="003F6BD9">
      <w:pPr>
        <w:rPr>
          <w:rFonts w:ascii="Arial" w:hAnsi="Arial" w:cs="Arial"/>
          <w:sz w:val="24"/>
          <w:szCs w:val="24"/>
        </w:rPr>
      </w:pPr>
    </w:p>
    <w:p w:rsidR="004074D6" w:rsidRDefault="004074D6" w:rsidP="003F6BD9">
      <w:pPr>
        <w:jc w:val="center"/>
        <w:rPr>
          <w:color w:val="000000"/>
          <w:sz w:val="28"/>
          <w:szCs w:val="28"/>
        </w:rPr>
      </w:pPr>
    </w:p>
    <w:p w:rsidR="004074D6" w:rsidRDefault="004074D6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4074D6" w:rsidRDefault="004074D6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4074D6" w:rsidRPr="00E65843" w:rsidRDefault="004074D6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4074D6" w:rsidRPr="00E65843" w:rsidRDefault="004074D6" w:rsidP="003F6BD9">
      <w:pPr>
        <w:rPr>
          <w:sz w:val="24"/>
          <w:szCs w:val="24"/>
        </w:rPr>
      </w:pPr>
    </w:p>
    <w:p w:rsidR="004074D6" w:rsidRPr="00E65843" w:rsidRDefault="004074D6" w:rsidP="003F6BD9">
      <w:pPr>
        <w:rPr>
          <w:sz w:val="24"/>
          <w:szCs w:val="24"/>
        </w:rPr>
      </w:pPr>
    </w:p>
    <w:p w:rsidR="004074D6" w:rsidRPr="00E65843" w:rsidRDefault="004074D6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4074D6" w:rsidRPr="00697EFD" w:rsidRDefault="004074D6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4D4D40">
        <w:rPr>
          <w:sz w:val="24"/>
          <w:szCs w:val="24"/>
          <w:u w:val="single"/>
          <w:lang w:val="ru-RU"/>
        </w:rPr>
        <w:t>14.06.2013</w:t>
      </w:r>
    </w:p>
    <w:p w:rsidR="004074D6" w:rsidRPr="00D96093" w:rsidRDefault="004074D6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4074D6" w:rsidRPr="00E65843" w:rsidRDefault="004074D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пос.Смолячково, Приморское шоссе</w:t>
      </w:r>
    </w:p>
    <w:p w:rsidR="004074D6" w:rsidRPr="003444BE" w:rsidRDefault="004074D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680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4074D6" w:rsidRPr="00E65843" w:rsidRDefault="004074D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4D4D40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74D6" w:rsidRPr="00697EFD" w:rsidRDefault="004074D6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4074D6" w:rsidRPr="00E65843" w:rsidRDefault="004074D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4074D6" w:rsidRPr="00E65843" w:rsidRDefault="004074D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4074D6" w:rsidRPr="00697EFD" w:rsidRDefault="004074D6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4074D6" w:rsidRPr="00E65843" w:rsidRDefault="004074D6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4074D6" w:rsidRDefault="004074D6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4074D6" w:rsidRPr="00E65843" w:rsidRDefault="004074D6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4074D6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4074D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1917</w:t>
            </w:r>
          </w:p>
        </w:tc>
      </w:tr>
      <w:tr w:rsidR="004074D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4074D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383</w:t>
            </w:r>
          </w:p>
        </w:tc>
      </w:tr>
      <w:tr w:rsidR="004074D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62,2</w:t>
            </w:r>
          </w:p>
        </w:tc>
      </w:tr>
      <w:tr w:rsidR="004074D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62,2</w:t>
            </w:r>
          </w:p>
        </w:tc>
      </w:tr>
      <w:tr w:rsidR="004074D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4074D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4074D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4074D6" w:rsidRPr="00E65843" w:rsidRDefault="004074D6">
      <w:pPr>
        <w:pStyle w:val="a7"/>
        <w:jc w:val="center"/>
        <w:rPr>
          <w:rFonts w:ascii="Arial" w:hAnsi="Arial" w:cs="Arial"/>
        </w:rPr>
      </w:pPr>
    </w:p>
    <w:p w:rsidR="004074D6" w:rsidRPr="00E65843" w:rsidRDefault="004074D6">
      <w:pPr>
        <w:pStyle w:val="a7"/>
        <w:jc w:val="center"/>
        <w:rPr>
          <w:rFonts w:ascii="Arial" w:hAnsi="Arial" w:cs="Arial"/>
        </w:rPr>
      </w:pPr>
    </w:p>
    <w:p w:rsidR="004074D6" w:rsidRPr="00E65843" w:rsidRDefault="004074D6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4074D6" w:rsidRPr="00E65843" w:rsidRDefault="004074D6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4074D6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4074D6" w:rsidRPr="00951A13" w:rsidRDefault="004074D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4074D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74D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74D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74D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74D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74D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74D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74D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74D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4074D6" w:rsidRPr="00E65843" w:rsidRDefault="004074D6">
      <w:pPr>
        <w:pStyle w:val="a7"/>
        <w:jc w:val="center"/>
        <w:rPr>
          <w:rFonts w:ascii="Arial" w:hAnsi="Arial" w:cs="Arial"/>
          <w:lang w:val="en-US"/>
        </w:rPr>
      </w:pPr>
    </w:p>
    <w:p w:rsidR="004074D6" w:rsidRPr="00E65843" w:rsidRDefault="004074D6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4074D6" w:rsidRPr="00E65843" w:rsidRDefault="004074D6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4074D6" w:rsidRPr="00951A13">
        <w:tc>
          <w:tcPr>
            <w:tcW w:w="994" w:type="pct"/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4074D6" w:rsidRPr="00951A13" w:rsidRDefault="004074D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4074D6" w:rsidRPr="00951A13" w:rsidRDefault="004074D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4074D6" w:rsidRPr="00951A13" w:rsidRDefault="004074D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074D6" w:rsidRPr="00951A13" w:rsidRDefault="004074D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4074D6" w:rsidRPr="00951A13" w:rsidRDefault="004074D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074D6" w:rsidRPr="00951A13" w:rsidRDefault="004074D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4074D6" w:rsidRPr="00951A13" w:rsidRDefault="004074D6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4074D6" w:rsidRPr="00951A13" w:rsidRDefault="004074D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074D6" w:rsidRPr="00951A13" w:rsidRDefault="004074D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4074D6" w:rsidRPr="00951A13" w:rsidRDefault="004074D6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4074D6" w:rsidRPr="00951A13" w:rsidRDefault="004074D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074D6" w:rsidRPr="00951A13" w:rsidRDefault="004074D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4074D6" w:rsidRPr="00951A13" w:rsidRDefault="004074D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4D6" w:rsidRPr="00951A13" w:rsidRDefault="004074D6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4074D6" w:rsidRPr="00951A13" w:rsidRDefault="004074D6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4074D6" w:rsidRPr="00951A13" w:rsidRDefault="004074D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4074D6" w:rsidRPr="0020058D">
        <w:tc>
          <w:tcPr>
            <w:tcW w:w="99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74D6" w:rsidRPr="0020058D">
        <w:tc>
          <w:tcPr>
            <w:tcW w:w="99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74D6" w:rsidRPr="0020058D">
        <w:tc>
          <w:tcPr>
            <w:tcW w:w="99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62.2</w:t>
            </w:r>
          </w:p>
        </w:tc>
        <w:tc>
          <w:tcPr>
            <w:tcW w:w="47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74D6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74D6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4074D6" w:rsidRPr="0020058D">
        <w:tc>
          <w:tcPr>
            <w:tcW w:w="99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74D6" w:rsidRPr="0020058D">
        <w:tc>
          <w:tcPr>
            <w:tcW w:w="99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74D6" w:rsidRPr="0020058D">
        <w:tc>
          <w:tcPr>
            <w:tcW w:w="99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74D6" w:rsidRPr="0020058D">
        <w:tc>
          <w:tcPr>
            <w:tcW w:w="99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4074D6" w:rsidRPr="00E65843" w:rsidRDefault="004074D6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4074D6" w:rsidRPr="0020058D">
        <w:tc>
          <w:tcPr>
            <w:tcW w:w="4968" w:type="dxa"/>
            <w:shd w:val="pct10" w:color="00FF00" w:fill="auto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4074D6" w:rsidRPr="0020058D">
        <w:tc>
          <w:tcPr>
            <w:tcW w:w="4968" w:type="dxa"/>
            <w:shd w:val="pct10" w:color="00FF00" w:fill="auto"/>
          </w:tcPr>
          <w:p w:rsidR="004074D6" w:rsidRPr="00E65843" w:rsidRDefault="004074D6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4074D6" w:rsidRPr="00E65843" w:rsidRDefault="004074D6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074D6" w:rsidRPr="0020058D">
        <w:tc>
          <w:tcPr>
            <w:tcW w:w="4968" w:type="dxa"/>
            <w:shd w:val="pct10" w:color="00FF00" w:fill="auto"/>
          </w:tcPr>
          <w:p w:rsidR="004074D6" w:rsidRPr="00E65843" w:rsidRDefault="004074D6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074D6" w:rsidRPr="00A47A4D" w:rsidRDefault="004074D6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074D6" w:rsidRPr="0020058D">
        <w:tc>
          <w:tcPr>
            <w:tcW w:w="4968" w:type="dxa"/>
            <w:shd w:val="pct10" w:color="00FF00" w:fill="auto"/>
          </w:tcPr>
          <w:p w:rsidR="004074D6" w:rsidRPr="00E65843" w:rsidRDefault="004074D6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074D6" w:rsidRPr="00E65843" w:rsidRDefault="004074D6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074D6" w:rsidRPr="00A47A4D" w:rsidRDefault="004074D6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4074D6" w:rsidRPr="00E65843" w:rsidRDefault="004074D6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4074D6" w:rsidRDefault="004074D6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4074D6" w:rsidRPr="00E65843" w:rsidRDefault="004074D6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4074D6" w:rsidRPr="00E65843" w:rsidRDefault="004074D6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074D6" w:rsidRPr="0020058D">
        <w:tc>
          <w:tcPr>
            <w:tcW w:w="9406" w:type="dxa"/>
          </w:tcPr>
          <w:p w:rsidR="004074D6" w:rsidRPr="00E65843" w:rsidRDefault="004074D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074D6" w:rsidRPr="0020058D" w:rsidRDefault="004074D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4074D6" w:rsidRPr="0020058D">
        <w:tc>
          <w:tcPr>
            <w:tcW w:w="9406" w:type="dxa"/>
          </w:tcPr>
          <w:p w:rsidR="004074D6" w:rsidRPr="0020058D" w:rsidRDefault="004074D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4074D6" w:rsidRPr="0020058D" w:rsidRDefault="004074D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4074D6" w:rsidRPr="0020058D">
        <w:tc>
          <w:tcPr>
            <w:tcW w:w="9406" w:type="dxa"/>
          </w:tcPr>
          <w:p w:rsidR="004074D6" w:rsidRPr="0020058D" w:rsidRDefault="004074D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4074D6" w:rsidRPr="0020058D" w:rsidRDefault="004074D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4074D6" w:rsidRPr="00E65843" w:rsidRDefault="004074D6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4074D6" w:rsidRPr="0020058D">
        <w:tc>
          <w:tcPr>
            <w:tcW w:w="9898" w:type="dxa"/>
          </w:tcPr>
          <w:p w:rsidR="004074D6" w:rsidRPr="00E65843" w:rsidRDefault="004074D6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4074D6" w:rsidRPr="00E65843" w:rsidRDefault="004074D6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074D6" w:rsidRPr="0020058D">
        <w:tc>
          <w:tcPr>
            <w:tcW w:w="9406" w:type="dxa"/>
          </w:tcPr>
          <w:p w:rsidR="004074D6" w:rsidRPr="00E65843" w:rsidRDefault="004074D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074D6" w:rsidRPr="0020058D" w:rsidRDefault="004074D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4074D6" w:rsidRPr="0020058D">
        <w:tc>
          <w:tcPr>
            <w:tcW w:w="9406" w:type="dxa"/>
          </w:tcPr>
          <w:p w:rsidR="004074D6" w:rsidRPr="0020058D" w:rsidRDefault="004074D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4074D6" w:rsidRPr="0020058D" w:rsidRDefault="004074D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4074D6" w:rsidRPr="0020058D">
        <w:tc>
          <w:tcPr>
            <w:tcW w:w="9406" w:type="dxa"/>
          </w:tcPr>
          <w:p w:rsidR="004074D6" w:rsidRPr="0020058D" w:rsidRDefault="004074D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4074D6" w:rsidRPr="0020058D" w:rsidRDefault="004074D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4074D6" w:rsidRPr="0020058D">
        <w:tc>
          <w:tcPr>
            <w:tcW w:w="9406" w:type="dxa"/>
          </w:tcPr>
          <w:p w:rsidR="004074D6" w:rsidRPr="0020058D" w:rsidRDefault="004074D6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4074D6" w:rsidRPr="0020058D" w:rsidRDefault="004074D6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4074D6" w:rsidRPr="00E65843" w:rsidRDefault="004074D6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4074D6" w:rsidRPr="0020058D">
        <w:tc>
          <w:tcPr>
            <w:tcW w:w="9468" w:type="dxa"/>
          </w:tcPr>
          <w:p w:rsidR="004074D6" w:rsidRPr="0020058D" w:rsidRDefault="004074D6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4074D6" w:rsidRPr="0020058D" w:rsidRDefault="004074D6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4074D6" w:rsidRDefault="004074D6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4074D6" w:rsidRPr="0020058D" w:rsidRDefault="004074D6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4074D6" w:rsidRPr="00E65843" w:rsidRDefault="004074D6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074D6" w:rsidRPr="0020058D" w:rsidTr="00610FB2">
        <w:tc>
          <w:tcPr>
            <w:tcW w:w="5687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074D6" w:rsidRPr="0020058D" w:rsidTr="00610FB2">
        <w:tc>
          <w:tcPr>
            <w:tcW w:w="5687" w:type="dxa"/>
          </w:tcPr>
          <w:p w:rsidR="004074D6" w:rsidRPr="00E65843" w:rsidRDefault="004074D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D6" w:rsidRPr="00A47A4D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4074D6" w:rsidRPr="0020058D" w:rsidTr="00610FB2">
        <w:tc>
          <w:tcPr>
            <w:tcW w:w="5687" w:type="dxa"/>
          </w:tcPr>
          <w:p w:rsidR="004074D6" w:rsidRPr="00E65843" w:rsidRDefault="004074D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4074D6" w:rsidRPr="0020058D" w:rsidTr="00610FB2">
        <w:tc>
          <w:tcPr>
            <w:tcW w:w="5687" w:type="dxa"/>
          </w:tcPr>
          <w:p w:rsidR="004074D6" w:rsidRPr="0020058D" w:rsidRDefault="004074D6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</w:tbl>
    <w:p w:rsidR="004074D6" w:rsidRPr="00E65843" w:rsidRDefault="004074D6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4074D6" w:rsidRPr="00E65843" w:rsidRDefault="004074D6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4074D6" w:rsidRPr="00E65843" w:rsidRDefault="004074D6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4074D6" w:rsidRPr="00E65843" w:rsidRDefault="004074D6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4074D6" w:rsidRPr="00E65843" w:rsidRDefault="004074D6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4074D6" w:rsidRPr="00E65843" w:rsidRDefault="004074D6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074D6" w:rsidRPr="0020058D" w:rsidTr="00610FB2">
        <w:tc>
          <w:tcPr>
            <w:tcW w:w="5489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074D6" w:rsidRPr="0020058D" w:rsidTr="00610FB2">
        <w:tc>
          <w:tcPr>
            <w:tcW w:w="5489" w:type="dxa"/>
          </w:tcPr>
          <w:p w:rsidR="004074D6" w:rsidRPr="00E65843" w:rsidRDefault="004074D6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159</w:t>
            </w:r>
          </w:p>
        </w:tc>
      </w:tr>
      <w:tr w:rsidR="004074D6" w:rsidRPr="0020058D" w:rsidTr="00610FB2">
        <w:tc>
          <w:tcPr>
            <w:tcW w:w="5489" w:type="dxa"/>
          </w:tcPr>
          <w:p w:rsidR="004074D6" w:rsidRPr="00E65843" w:rsidRDefault="004074D6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4074D6" w:rsidRPr="0020058D" w:rsidTr="00610FB2">
        <w:tc>
          <w:tcPr>
            <w:tcW w:w="5489" w:type="dxa"/>
          </w:tcPr>
          <w:p w:rsidR="004074D6" w:rsidRPr="00E65843" w:rsidRDefault="004074D6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200</w:t>
            </w:r>
          </w:p>
        </w:tc>
      </w:tr>
    </w:tbl>
    <w:p w:rsidR="004074D6" w:rsidRPr="00E65843" w:rsidRDefault="004074D6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4074D6" w:rsidRPr="00E65843" w:rsidRDefault="004074D6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4074D6" w:rsidRPr="00E65843" w:rsidRDefault="004074D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074D6" w:rsidRPr="0020058D" w:rsidTr="00610FB2">
        <w:tc>
          <w:tcPr>
            <w:tcW w:w="5687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074D6" w:rsidRPr="0020058D" w:rsidTr="00610FB2">
        <w:tc>
          <w:tcPr>
            <w:tcW w:w="5687" w:type="dxa"/>
          </w:tcPr>
          <w:p w:rsidR="004074D6" w:rsidRPr="00E65843" w:rsidRDefault="004074D6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216</w:t>
            </w:r>
          </w:p>
        </w:tc>
      </w:tr>
    </w:tbl>
    <w:p w:rsidR="004074D6" w:rsidRPr="00E65843" w:rsidRDefault="004074D6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4074D6" w:rsidRPr="00E65843" w:rsidRDefault="004074D6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4074D6" w:rsidRPr="00E65843" w:rsidRDefault="004074D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074D6" w:rsidRPr="0020058D" w:rsidTr="00610FB2">
        <w:tc>
          <w:tcPr>
            <w:tcW w:w="5687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074D6" w:rsidRPr="0020058D" w:rsidTr="00610FB2">
        <w:tc>
          <w:tcPr>
            <w:tcW w:w="5687" w:type="dxa"/>
          </w:tcPr>
          <w:p w:rsidR="004074D6" w:rsidRPr="00E65843" w:rsidRDefault="004074D6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4074D6" w:rsidRPr="00E65843" w:rsidRDefault="004074D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4074D6" w:rsidRDefault="004074D6">
      <w:pPr>
        <w:pStyle w:val="a7"/>
        <w:rPr>
          <w:rFonts w:ascii="Arial" w:hAnsi="Arial" w:cs="Arial"/>
          <w:sz w:val="28"/>
        </w:rPr>
      </w:pPr>
    </w:p>
    <w:p w:rsidR="004074D6" w:rsidRDefault="004074D6"/>
    <w:p w:rsidR="004074D6" w:rsidRDefault="004074D6"/>
    <w:p w:rsidR="00177ED2" w:rsidRDefault="00177ED2">
      <w:bookmarkStart w:id="67" w:name="_GoBack"/>
      <w:bookmarkEnd w:id="67"/>
    </w:p>
    <w:sectPr w:rsidR="00177ED2" w:rsidSect="00407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D6" w:rsidRDefault="004074D6" w:rsidP="004074D6">
      <w:pPr>
        <w:spacing w:after="0" w:line="240" w:lineRule="auto"/>
      </w:pPr>
      <w:r>
        <w:separator/>
      </w:r>
    </w:p>
  </w:endnote>
  <w:endnote w:type="continuationSeparator" w:id="0">
    <w:p w:rsidR="004074D6" w:rsidRDefault="004074D6" w:rsidP="0040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074D6" w:rsidP="004074D6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4074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074D6" w:rsidP="004074D6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4074D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D6" w:rsidRDefault="004074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D6" w:rsidRDefault="004074D6" w:rsidP="004074D6">
      <w:pPr>
        <w:spacing w:after="0" w:line="240" w:lineRule="auto"/>
      </w:pPr>
      <w:r>
        <w:separator/>
      </w:r>
    </w:p>
  </w:footnote>
  <w:footnote w:type="continuationSeparator" w:id="0">
    <w:p w:rsidR="004074D6" w:rsidRDefault="004074D6" w:rsidP="0040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D6" w:rsidRDefault="004074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D6" w:rsidRDefault="004074D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D6" w:rsidRDefault="004074D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D6"/>
    <w:rsid w:val="00177ED2"/>
    <w:rsid w:val="004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74D6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74D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074D6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074D6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074D6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074D6"/>
  </w:style>
  <w:style w:type="character" w:customStyle="1" w:styleId="10">
    <w:name w:val="Заголовок 1 Знак"/>
    <w:basedOn w:val="a0"/>
    <w:link w:val="1"/>
    <w:rsid w:val="004074D6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074D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074D6"/>
  </w:style>
  <w:style w:type="character" w:customStyle="1" w:styleId="formdisplayfield">
    <w:name w:val="formdisplayfield"/>
    <w:basedOn w:val="a0"/>
    <w:rsid w:val="004074D6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074D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074D6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074D6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074D6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0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74D6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74D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074D6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074D6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074D6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074D6"/>
  </w:style>
  <w:style w:type="character" w:customStyle="1" w:styleId="10">
    <w:name w:val="Заголовок 1 Знак"/>
    <w:basedOn w:val="a0"/>
    <w:link w:val="1"/>
    <w:rsid w:val="004074D6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074D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074D6"/>
  </w:style>
  <w:style w:type="character" w:customStyle="1" w:styleId="formdisplayfield">
    <w:name w:val="formdisplayfield"/>
    <w:basedOn w:val="a0"/>
    <w:rsid w:val="004074D6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074D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074D6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074D6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074D6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0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